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B726A77" wp14:paraId="63810B8E" wp14:textId="231D2342">
      <w:pPr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726A77" w:rsidR="1F62751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3B726A77" w:rsidR="332A083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ITLE</w:t>
      </w:r>
      <w:r w:rsidRPr="3B726A77" w:rsidR="1F62751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B726A77" wp14:paraId="0FAB3D98" wp14:textId="605D6658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Potentially avoidable emergency department transfers among Medicare beneficiaries</w:t>
      </w:r>
    </w:p>
    <w:p xmlns:wp14="http://schemas.microsoft.com/office/word/2010/wordml" w:rsidP="3B726A77" wp14:paraId="4E2EC9F1" wp14:textId="207C8B8F">
      <w:pPr>
        <w:pStyle w:val="Normal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726A77" wp14:paraId="23D43B5C" wp14:textId="47EAC060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726A77" w:rsidR="475061D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AUTHORS AND AFFILIATIONS</w:t>
      </w:r>
    </w:p>
    <w:p xmlns:wp14="http://schemas.microsoft.com/office/word/2010/wordml" w:rsidP="3B726A77" wp14:paraId="1A5A679C" wp14:textId="14E9BDDB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Kathleen Y.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Li, MD, MS,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1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John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L.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Gore, MD, MS,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2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Elizabeth A. Phelan, MD, MS,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 xml:space="preserve">3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Jane Hall, PhD,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 xml:space="preserve"> 1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Navya Gunaje, MS,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1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Amber K. Sabbatini, MD, MPH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1</w:t>
      </w:r>
    </w:p>
    <w:p xmlns:wp14="http://schemas.microsoft.com/office/word/2010/wordml" w:rsidP="3B726A77" wp14:paraId="56DC0870" wp14:textId="260DAB94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Department of Emergency Medicine, University of Washington School of Medicine, Seattle, WA</w:t>
      </w:r>
    </w:p>
    <w:p xmlns:wp14="http://schemas.microsoft.com/office/word/2010/wordml" w:rsidP="3B726A77" wp14:paraId="18983FC1" wp14:textId="1446A0B4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Department of Urology, University of Washington School of Medicine, Seattle, WA</w:t>
      </w:r>
    </w:p>
    <w:p xmlns:wp14="http://schemas.microsoft.com/office/word/2010/wordml" w:rsidP="3B726A77" wp14:paraId="25F62500" wp14:textId="6227F7A1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Department of Medicine, Division of Gerontology and Geriatric Medicine, University of Washington School of Medicine, Seattle, WA, USA</w:t>
      </w:r>
    </w:p>
    <w:p xmlns:wp14="http://schemas.microsoft.com/office/word/2010/wordml" w:rsidP="3B726A77" wp14:paraId="0687BDAE" wp14:textId="058B1860">
      <w:pPr>
        <w:spacing w:after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726A77" wp14:paraId="248FF606" wp14:textId="6904B820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Pr="3B726A77" w:rsidR="54BE729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ABSTRACT</w:t>
      </w:r>
    </w:p>
    <w:p xmlns:wp14="http://schemas.microsoft.com/office/word/2010/wordml" w:rsidP="3B726A77" wp14:paraId="0876EB35" wp14:textId="12273BE5">
      <w:pPr>
        <w:spacing w:line="48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726A77" w:rsidR="3AFC3C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Patient transfer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between hospitals is common, costly, and may be avoidable in 20 to 89% of transfers, meaning patients do not receive specialized resources or procedures once transferred. Older adults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be </w:t>
      </w:r>
      <w:r w:rsidRPr="3B726A77" w:rsidR="1E315C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especially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risk for developing delirium or other complications due to transfer. In this study we aimed to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frequency of potentially avoidable transfer (PAT) among Medicare beneficiaries;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conditions most likely to involve a PAT; and describe patien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  <w:t xml:space="preserve">t,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transferring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hospital, and community factors associated with PAT.</w:t>
      </w:r>
    </w:p>
    <w:p xmlns:wp14="http://schemas.microsoft.com/office/word/2010/wordml" w:rsidP="3B726A77" wp14:paraId="1CAE3AAB" wp14:textId="6C246768">
      <w:pPr>
        <w:spacing w:line="48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performed a retrospective analysis of ED visits resulting in transfer to another hospital from 2008 to 2019 among Medicare fee-for-service beneficiaries 65 years and older. We defined PAT based on resource use at the receiving hospital – transfers resulting in a treat-and-release ED visit, observation stay, or inpatient hospitalization for 2 days or less who did not receive intensive care or an advanced procedure and were discharged alive. We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identified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conditions with the highest rates of PAT and used multivariable logistic regression to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independent association of patient, </w:t>
      </w:r>
      <w:r w:rsidRPr="3B726A77" w:rsidR="0D2D67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hospital</w:t>
      </w:r>
      <w:r w:rsidRPr="3B726A77" w:rsidR="7AB7A6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and community-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linked characteristics with likelihood of PAT. </w:t>
      </w:r>
    </w:p>
    <w:p xmlns:wp14="http://schemas.microsoft.com/office/word/2010/wordml" w:rsidP="3B726A77" wp14:paraId="721BB159" wp14:textId="5A879416">
      <w:pPr>
        <w:pStyle w:val="Normal"/>
        <w:spacing w:line="48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Among </w:t>
      </w:r>
      <w:r w:rsidRPr="3B726A77" w:rsidR="17CA12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3,066,029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transfers, 345,930 (11.3%) met criteria for being a PAT. Conditions with high frequency and rates of PAT included transient cerebral ischemia (35.3%), nonspecific chest pain (25.5%), syncope (22.9%), other fractures (18.4%), and intracranial injury (16.9%). These conditions were </w:t>
      </w:r>
      <w:r w:rsidRPr="3B726A77" w:rsidR="46523C8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most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strongly associated with PAT in multivariable </w:t>
      </w:r>
      <w:r w:rsidRPr="3B726A77" w:rsidR="04E8E8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analysis</w:t>
      </w:r>
      <w:r w:rsidRPr="3B726A77" w:rsidR="1FECB3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For example, </w:t>
      </w:r>
      <w:r w:rsidRPr="3B726A77" w:rsidR="2B347A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3B726A77" w:rsidR="1419B2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ompared to transfers for sepsis, transfers for intracranial injury had </w:t>
      </w:r>
      <w:r w:rsidRPr="3B726A77" w:rsidR="0846B0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average marginal effect (AME)</w:t>
      </w:r>
      <w:r w:rsidRPr="3B726A77" w:rsidR="11637C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12.8%</w:t>
      </w:r>
      <w:r w:rsidRPr="3B726A77" w:rsidR="1D367E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3B726A77" w:rsidR="7C88F0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95%CI</w:t>
      </w:r>
      <w:r w:rsidRPr="3B726A77" w:rsidR="5244F3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</w:t>
      </w:r>
      <w:r w:rsidRPr="3B726A77" w:rsidR="52BE97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2.2-13.4</w:t>
      </w:r>
      <w:r w:rsidRPr="3B726A77" w:rsidR="3C7CF2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3B726A77" w:rsidR="48396F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3B726A77" w:rsidR="4D450A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726A77" w:rsidR="0F309D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transient cerebral ischemia had AME 28.2% (27.4-29.1)</w:t>
      </w:r>
      <w:r w:rsidRPr="3B726A77" w:rsidR="73B00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the likelihood of PAT</w:t>
      </w:r>
      <w:r w:rsidRPr="3B726A77" w:rsidR="3C7CF2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B726A77" w:rsidR="4D20FE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726A77" w:rsidR="18D782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3B726A77" w:rsidR="3BC654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 association of other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factors</w:t>
      </w:r>
      <w:r w:rsidRPr="3B726A77" w:rsidR="0FA04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726A77" w:rsidR="14E4CC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</w:t>
      </w:r>
      <w:r w:rsidRPr="3B726A77" w:rsidR="22A2E9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PAT</w:t>
      </w:r>
      <w:r w:rsidRPr="3B726A77" w:rsidR="1CF83B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 </w:t>
      </w:r>
      <w:r w:rsidRPr="3B726A77" w:rsidR="30089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weaker</w:t>
      </w:r>
      <w:r w:rsidRPr="3B726A77" w:rsidR="1CF83B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such as</w:t>
      </w:r>
      <w:r w:rsidRPr="3B726A77" w:rsidR="7D216F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726A77" w:rsidR="4132C0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high </w:t>
      </w:r>
      <w:r w:rsidRPr="3B726A77" w:rsidR="48E7DC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Elixhauser</w:t>
      </w:r>
      <w:r w:rsidRPr="3B726A77" w:rsidR="48E7DC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score (AME </w:t>
      </w:r>
      <w:r w:rsidRPr="3B726A77" w:rsidR="14A91D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3B726A77" w:rsidR="48E7DC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10.0% (-10</w:t>
      </w:r>
      <w:r w:rsidRPr="3B726A77" w:rsidR="6EAD7A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3B726A77" w:rsidR="48E7DC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3B726A77" w:rsidR="14429E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- </w:t>
      </w:r>
      <w:r w:rsidRPr="3B726A77" w:rsidR="48E7DC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-9</w:t>
      </w:r>
      <w:r w:rsidRPr="3B726A77" w:rsidR="301341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.7</w:t>
      </w:r>
      <w:r w:rsidRPr="3B726A77" w:rsidR="48E7DC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)</w:t>
      </w:r>
      <w:r w:rsidRPr="3B726A77" w:rsidR="47E85E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)</w:t>
      </w:r>
      <w:r w:rsidRPr="3B726A77" w:rsidR="00CDC5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3B726A77" w:rsidR="1CF83B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large hospital size (AME 6.5% (4.5-8.4)), </w:t>
      </w:r>
      <w:r w:rsidRPr="3B726A77" w:rsidR="0AD27D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critical access hospital status, (AME 2.6 (2.1 - 2.9),</w:t>
      </w:r>
      <w:r w:rsidRPr="3B726A77" w:rsidR="22A2E9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726A77" w:rsidR="3C5126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3B726A77" w:rsidR="5EDD2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Black race </w:t>
      </w:r>
      <w:r w:rsidRPr="3B726A77" w:rsidR="3C5126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(AME </w:t>
      </w:r>
      <w:r w:rsidRPr="3B726A77" w:rsidR="4C2D98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1.2 (0.7- 1.7)</w:t>
      </w:r>
      <w:r w:rsidRPr="3B726A77" w:rsidR="3C5126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3B726A77" w:rsidR="53F6D9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B726A77" w:rsidR="3C5126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B726A77" wp14:paraId="4D938B1E" wp14:textId="0DA9B20C">
      <w:pPr>
        <w:pStyle w:val="Normal"/>
        <w:spacing w:line="48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8D4"/>
          <w:sz w:val="22"/>
          <w:szCs w:val="22"/>
          <w:lang w:val="en-US"/>
        </w:rPr>
      </w:pP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identified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significant portion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PAT among older adults, particularly among a subset of neurologic, cardiovascular, and injury-related conditions. These conditions may </w:t>
      </w:r>
      <w:r w:rsidRPr="3B726A77" w:rsidR="4DE54A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ideal targets for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telemedicine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726A77" w:rsidR="5CCEB2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use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3B726A77" w:rsidR="79A121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minimize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avoidable transfer</w:t>
      </w:r>
      <w:r w:rsidRPr="3B726A77" w:rsidR="7545D7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3B726A77" w:rsidR="1A4EAF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esearch exploring hospital variation in transfer practices and</w:t>
      </w:r>
      <w:r w:rsidRPr="3B726A77" w:rsidR="32C2F6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impact of PAT on health outcomes </w:t>
      </w:r>
      <w:r w:rsidRPr="3B726A77" w:rsidR="704015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</w:t>
      </w:r>
      <w:r w:rsidRPr="3B726A77" w:rsidR="150067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also needed.</w:t>
      </w:r>
    </w:p>
    <w:p xmlns:wp14="http://schemas.microsoft.com/office/word/2010/wordml" w:rsidP="3B726A77" wp14:paraId="2C078E63" wp14:textId="153A288A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99a776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8008e6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c3d5c7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829f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4A415D"/>
    <w:rsid w:val="002EE7B1"/>
    <w:rsid w:val="007A388F"/>
    <w:rsid w:val="00CDC528"/>
    <w:rsid w:val="04E8E89E"/>
    <w:rsid w:val="050258D4"/>
    <w:rsid w:val="069E2935"/>
    <w:rsid w:val="0839F996"/>
    <w:rsid w:val="0846B07F"/>
    <w:rsid w:val="093EF760"/>
    <w:rsid w:val="0A79A980"/>
    <w:rsid w:val="0AD27D3E"/>
    <w:rsid w:val="0D2D6710"/>
    <w:rsid w:val="0EAD46E3"/>
    <w:rsid w:val="0F309DB5"/>
    <w:rsid w:val="0FA041AF"/>
    <w:rsid w:val="104CF901"/>
    <w:rsid w:val="11637C80"/>
    <w:rsid w:val="11E0DBDC"/>
    <w:rsid w:val="137CAC3D"/>
    <w:rsid w:val="13B6C244"/>
    <w:rsid w:val="1419B21D"/>
    <w:rsid w:val="14429E29"/>
    <w:rsid w:val="14A91D87"/>
    <w:rsid w:val="14E4CCE4"/>
    <w:rsid w:val="15006752"/>
    <w:rsid w:val="164A415D"/>
    <w:rsid w:val="16BC3A85"/>
    <w:rsid w:val="17139B3B"/>
    <w:rsid w:val="17CA12E4"/>
    <w:rsid w:val="17DA3873"/>
    <w:rsid w:val="1810E8E8"/>
    <w:rsid w:val="18D78257"/>
    <w:rsid w:val="19861D57"/>
    <w:rsid w:val="1A4EAF45"/>
    <w:rsid w:val="1CF83B12"/>
    <w:rsid w:val="1D367E1E"/>
    <w:rsid w:val="1E315C49"/>
    <w:rsid w:val="1F62751F"/>
    <w:rsid w:val="1FECB3BB"/>
    <w:rsid w:val="201BFACD"/>
    <w:rsid w:val="22A2E958"/>
    <w:rsid w:val="284CABA2"/>
    <w:rsid w:val="2AE499A7"/>
    <w:rsid w:val="2B347A7B"/>
    <w:rsid w:val="2DEAB018"/>
    <w:rsid w:val="30089525"/>
    <w:rsid w:val="301341F7"/>
    <w:rsid w:val="3153DB2B"/>
    <w:rsid w:val="32C2F6F7"/>
    <w:rsid w:val="332A083B"/>
    <w:rsid w:val="344459EF"/>
    <w:rsid w:val="37C31CAF"/>
    <w:rsid w:val="38E939F9"/>
    <w:rsid w:val="395EED10"/>
    <w:rsid w:val="3977ED34"/>
    <w:rsid w:val="3AFABD71"/>
    <w:rsid w:val="3AFC3CAC"/>
    <w:rsid w:val="3B726A77"/>
    <w:rsid w:val="3B9E9CFA"/>
    <w:rsid w:val="3BC654ED"/>
    <w:rsid w:val="3C51266F"/>
    <w:rsid w:val="3C7CF2DB"/>
    <w:rsid w:val="3C968DD2"/>
    <w:rsid w:val="3D5656CF"/>
    <w:rsid w:val="3E325E33"/>
    <w:rsid w:val="4132C027"/>
    <w:rsid w:val="42C69ADE"/>
    <w:rsid w:val="43B09F4B"/>
    <w:rsid w:val="44A19FB7"/>
    <w:rsid w:val="44FE9AAB"/>
    <w:rsid w:val="46523C86"/>
    <w:rsid w:val="46EB95B0"/>
    <w:rsid w:val="475061DC"/>
    <w:rsid w:val="479A0C01"/>
    <w:rsid w:val="47E85E64"/>
    <w:rsid w:val="48396F81"/>
    <w:rsid w:val="48E7DCC1"/>
    <w:rsid w:val="4AD1ACC3"/>
    <w:rsid w:val="4B29E15F"/>
    <w:rsid w:val="4C2D980C"/>
    <w:rsid w:val="4C6D7D24"/>
    <w:rsid w:val="4CACB19C"/>
    <w:rsid w:val="4D20FE26"/>
    <w:rsid w:val="4D450A74"/>
    <w:rsid w:val="4DE54A51"/>
    <w:rsid w:val="4FA51DE6"/>
    <w:rsid w:val="5244F35F"/>
    <w:rsid w:val="52BE974E"/>
    <w:rsid w:val="52F18FEC"/>
    <w:rsid w:val="52FE9CDE"/>
    <w:rsid w:val="53F6D9F4"/>
    <w:rsid w:val="54BE7297"/>
    <w:rsid w:val="55C48698"/>
    <w:rsid w:val="56E4F11D"/>
    <w:rsid w:val="593066FA"/>
    <w:rsid w:val="595EBE2D"/>
    <w:rsid w:val="599B26BA"/>
    <w:rsid w:val="5C74F14C"/>
    <w:rsid w:val="5CCEB2AF"/>
    <w:rsid w:val="5E7F9371"/>
    <w:rsid w:val="5EDD2916"/>
    <w:rsid w:val="60D510BE"/>
    <w:rsid w:val="61B73433"/>
    <w:rsid w:val="6362A61E"/>
    <w:rsid w:val="65197497"/>
    <w:rsid w:val="6550250C"/>
    <w:rsid w:val="66B544F8"/>
    <w:rsid w:val="67445242"/>
    <w:rsid w:val="68511559"/>
    <w:rsid w:val="6887C5CE"/>
    <w:rsid w:val="6B4983DE"/>
    <w:rsid w:val="6D24867C"/>
    <w:rsid w:val="6EAD7A56"/>
    <w:rsid w:val="704015FF"/>
    <w:rsid w:val="7064469A"/>
    <w:rsid w:val="70F3220E"/>
    <w:rsid w:val="71D9A8FB"/>
    <w:rsid w:val="71DF0213"/>
    <w:rsid w:val="73B00B33"/>
    <w:rsid w:val="742AC2D0"/>
    <w:rsid w:val="7545D7EE"/>
    <w:rsid w:val="76D35648"/>
    <w:rsid w:val="771C857C"/>
    <w:rsid w:val="7823D5CB"/>
    <w:rsid w:val="786F26A9"/>
    <w:rsid w:val="78FE33F3"/>
    <w:rsid w:val="79A121DD"/>
    <w:rsid w:val="7AB7A669"/>
    <w:rsid w:val="7C88F0B6"/>
    <w:rsid w:val="7D216FBB"/>
    <w:rsid w:val="7E93174F"/>
    <w:rsid w:val="7F3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BEEA"/>
  <w15:chartTrackingRefBased/>
  <w15:docId w15:val="{E0042942-F88F-449D-AD31-1C9AC49BA1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ebd38e6185845fe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2024-03-30T06:09:34.9922881Z</dcterms:created>
  <dcterms:modified xsi:type="dcterms:W3CDTF">2024-03-30T07:03:22.1993944Z</dcterms:modified>
  <dc:creator>Kathy Li</dc:creator>
  <lastModifiedBy>Kathy Li</lastModifiedBy>
</coreProperties>
</file>